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posOffset>888364</wp:posOffset>
                </wp:positionH>
                <wp:positionV relativeFrom="margin">
                  <wp:posOffset>403860</wp:posOffset>
                </wp:positionV>
                <wp:extent cx="6287135" cy="7550260"/>
                <wp:effectExtent b="0" l="0" r="0" t="0"/>
                <wp:wrapSquare wrapText="bothSides" distB="0" distT="0" distL="0" distR="0"/>
                <wp:docPr id="1" name=""/>
                <a:graphic>
                  <a:graphicData uri="http://schemas.microsoft.com/office/word/2010/wordprocessingGroup">
                    <wpg:wgp>
                      <wpg:cNvGrpSpPr/>
                      <wpg:grpSpPr>
                        <a:xfrm>
                          <a:off x="2202660" y="0"/>
                          <a:ext cx="6287135" cy="7550260"/>
                          <a:chOff x="2202660" y="0"/>
                          <a:chExt cx="6286675" cy="7560327"/>
                        </a:xfrm>
                      </wpg:grpSpPr>
                      <wpg:grpSp>
                        <wpg:cNvGrpSpPr/>
                        <wpg:grpSpPr>
                          <a:xfrm>
                            <a:off x="2202660" y="0"/>
                            <a:ext cx="6286675" cy="7560327"/>
                            <a:chOff x="0" y="0"/>
                            <a:chExt cx="6286675" cy="8319960"/>
                          </a:xfrm>
                        </wpg:grpSpPr>
                        <wps:wsp>
                          <wps:cNvSpPr/>
                          <wps:cNvPr id="3" name="Shape 3"/>
                          <wps:spPr>
                            <a:xfrm>
                              <a:off x="0" y="0"/>
                              <a:ext cx="6286675" cy="8319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3114000" y="7905240"/>
                              <a:ext cx="3172320" cy="414720"/>
                            </a:xfrm>
                            <a:custGeom>
                              <a:rect b="b" l="l" r="r" t="t"/>
                              <a:pathLst>
                                <a:path extrusionOk="0" h="21600" w="21600">
                                  <a:moveTo>
                                    <a:pt x="0" y="0"/>
                                  </a:moveTo>
                                  <a:lnTo>
                                    <a:pt x="21600" y="0"/>
                                  </a:lnTo>
                                  <a:lnTo>
                                    <a:pt x="21600" y="21600"/>
                                  </a:lnTo>
                                  <a:lnTo>
                                    <a:pt x="0" y="21600"/>
                                  </a:lnTo>
                                  <a:close/>
                                </a:path>
                              </a:pathLst>
                            </a:custGeom>
                            <a:noFill/>
                            <a:ln>
                              <a:noFill/>
                            </a:ln>
                          </wps:spPr>
                          <wps:bodyPr anchorCtr="0" anchor="ctr" bIns="91425" lIns="91425" spcFirstLastPara="1" rIns="91425" wrap="square" tIns="91425">
                            <a:noAutofit/>
                          </wps:bodyPr>
                        </wps:wsp>
                        <wps:wsp>
                          <wps:cNvSpPr/>
                          <wps:cNvPr id="5" name="Shape 5"/>
                          <wps:spPr>
                            <a:xfrm>
                              <a:off x="0" y="0"/>
                              <a:ext cx="6051600" cy="5753160"/>
                            </a:xfrm>
                            <a:custGeom>
                              <a:rect b="b" l="l" r="r" t="t"/>
                              <a:pathLst>
                                <a:path extrusionOk="0" h="21600" w="21600">
                                  <a:moveTo>
                                    <a:pt x="0" y="0"/>
                                  </a:moveTo>
                                  <a:lnTo>
                                    <a:pt x="21600" y="0"/>
                                  </a:lnTo>
                                  <a:lnTo>
                                    <a:pt x="21600" y="21600"/>
                                  </a:lnTo>
                                  <a:lnTo>
                                    <a:pt x="0" y="21600"/>
                                  </a:lnTo>
                                  <a:close/>
                                </a:path>
                              </a:pathLst>
                            </a:custGeom>
                            <a:noFill/>
                            <a:ln>
                              <a:noFill/>
                            </a:ln>
                          </wps:spPr>
                          <wps:txbx>
                            <w:txbxContent>
                              <w:p w:rsidR="00000000" w:rsidDel="00000000" w:rsidP="00000000" w:rsidRDefault="00000000" w:rsidRPr="00000000">
                                <w:pPr>
                                  <w:spacing w:after="0" w:before="0" w:line="275.9999942779541"/>
                                  <w:ind w:left="0" w:right="0" w:firstLine="0"/>
                                  <w:jc w:val="left"/>
                                  <w:textDirection w:val="btLr"/>
                                </w:pP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r w:rsidDel="00000000" w:rsidR="00000000" w:rsidRPr="00000000">
                                  <w:rPr>
                                    <w:rFonts w:ascii="Calibri" w:cs="Calibri" w:eastAsia="Calibri" w:hAnsi="Calibri"/>
                                    <w:b w:val="1"/>
                                    <w:i w:val="0"/>
                                    <w:smallCaps w:val="0"/>
                                    <w:strike w:val="0"/>
                                    <w:color w:val="1f497d"/>
                                    <w:sz w:val="52"/>
                                    <w:vertAlign w:val="baseline"/>
                                  </w:rPr>
                                  <w:t xml:space="preserve">RM6168: Estate Management Services Order Form</w:t>
                                </w:r>
                                <w:r w:rsidDel="00000000" w:rsidR="00000000" w:rsidRPr="00000000">
                                  <w:rPr>
                                    <w:rFonts w:ascii="Calibri" w:cs="Calibri" w:eastAsia="Calibri" w:hAnsi="Calibri"/>
                                    <w:b w:val="1"/>
                                    <w:i w:val="0"/>
                                    <w:smallCaps w:val="0"/>
                                    <w:strike w:val="0"/>
                                    <w:color w:val="1f497d"/>
                                    <w:sz w:val="72"/>
                                    <w:vertAlign w:val="baseline"/>
                                  </w:rPr>
                                  <w:t xml:space="preserve"> </w:t>
                                </w:r>
                                <w:r w:rsidDel="00000000" w:rsidR="00000000" w:rsidRPr="00000000">
                                  <w:rPr>
                                    <w:rFonts w:ascii="Calibri" w:cs="Calibri" w:eastAsia="Calibri" w:hAnsi="Calibri"/>
                                    <w:b w:val="1"/>
                                    <w:i w:val="0"/>
                                    <w:smallCaps w:val="0"/>
                                    <w:strike w:val="0"/>
                                    <w:color w:val="1f497d"/>
                                    <w:sz w:val="52"/>
                                    <w:vertAlign w:val="baseline"/>
                                  </w:rPr>
                                  <w:t xml:space="preserve">Template </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r>
                              </w:p>
                            </w:txbxContent>
                          </wps:txbx>
                          <wps:bodyPr anchorCtr="0" anchor="b" bIns="45700" lIns="91425" spcFirstLastPara="1" rIns="91425" wrap="square" tIns="45700">
                            <a:noAutofit/>
                          </wps:bodyPr>
                        </wps:wsp>
                      </wpg:grpSp>
                    </wpg:wgp>
                  </a:graphicData>
                </a:graphic>
              </wp:anchor>
            </w:drawing>
          </mc:Choice>
          <mc:Fallback>
            <w:drawing>
              <wp:anchor allowOverlap="1" behindDoc="0" distB="0" distT="0" distL="0" distR="0" hidden="0" layoutInCell="1" locked="0" relativeHeight="0" simplePos="0">
                <wp:simplePos x="0" y="0"/>
                <wp:positionH relativeFrom="page">
                  <wp:posOffset>888364</wp:posOffset>
                </wp:positionH>
                <wp:positionV relativeFrom="margin">
                  <wp:posOffset>403860</wp:posOffset>
                </wp:positionV>
                <wp:extent cx="6287135" cy="7550260"/>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6287135" cy="7550260"/>
                        </a:xfrm>
                        <a:prstGeom prst="rect"/>
                        <a:ln/>
                      </pic:spPr>
                    </pic:pic>
                  </a:graphicData>
                </a:graphic>
              </wp:anchor>
            </w:drawing>
          </mc:Fallback>
        </mc:AlternateContent>
      </w:r>
      <w:r w:rsidDel="00000000" w:rsidR="00000000" w:rsidRPr="00000000">
        <w:br w:type="page"/>
      </w:r>
      <w:r w:rsidDel="00000000" w:rsidR="00000000" w:rsidRPr="00000000">
        <w:rPr>
          <w:rtl w:val="0"/>
        </w:rPr>
      </w:r>
      <w:r w:rsidDel="00000000" w:rsidR="00000000" w:rsidRPr="00000000">
        <w:drawing>
          <wp:anchor allowOverlap="1" behindDoc="0" distB="127000" distT="0" distL="0" distR="0" hidden="0" layoutInCell="1" locked="0" relativeHeight="0" simplePos="0">
            <wp:simplePos x="0" y="0"/>
            <wp:positionH relativeFrom="column">
              <wp:posOffset>96520</wp:posOffset>
            </wp:positionH>
            <wp:positionV relativeFrom="paragraph">
              <wp:posOffset>1698625</wp:posOffset>
            </wp:positionV>
            <wp:extent cx="1647190" cy="1371600"/>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7"/>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when completed and executed by both Parties, forms a Call-Off Contract from as outlined in section 4.3 of Framework Schedule 1 and Annex A of Framework Schedule 1 only. </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can complete and execute a Call-Off Contract by using an equivalent document or electronic purchase order system.  If an electronic purchasing system is used, the text below must be copied into the electronic order form.</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complete Part 1 of the Order Form Template to provide the information needed to populate a Call-Off Contract. Part 2 of the Order Form Template incorporates documents into the Call-Off Contract to create a complete set of terms. Part 2 also makes choices for some elections which are required to create a complete set of terms in a way that CCS expects to be most appropriate for Call-Off Contracts created using this Order Form.</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you want to add or amend any aspect of any of the terms or elections incorporated into the Call-Off Contract by Part 2 of this Order Form, you must use the box below marked “Call-Off Special Terms”. Call-Off Special Terms rank ahead of the incorporated terms and elections.</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must complete Annex 1 - Processing Personal Data as part of completing the Order Form.</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Form Template</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is for direct awards for the provision of the Deliverables which form part Framework Contract RM6168: Estate Management Services as outlined in section 4.3 of Framework Schedule 1 and Annex A of Framework Schedule 1 only.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Buyer and Supplier to complete</w:t>
      </w: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tl w:val="0"/>
        </w:rPr>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7"/>
        <w:gridCol w:w="6469"/>
        <w:tblGridChange w:id="0">
          <w:tblGrid>
            <w:gridCol w:w="2547"/>
            <w:gridCol w:w="6469"/>
          </w:tblGrid>
        </w:tblGridChange>
      </w:tblGrid>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Contact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Address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Invoice Address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(if different)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Data Protection Officer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Environmental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Security Policy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Representative of the Buyer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6"/>
          <w:szCs w:val="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 When CCS issued the final Framework Contract after award, it populated the Supplier details below using information submitted by the winning bidder during the procurement. The Buyer and Supplier should check that all of the details remain current at the time of entering into the Call-Off Contract.</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6"/>
          <w:szCs w:val="6"/>
          <w:u w:val="none"/>
          <w:shd w:fill="auto" w:val="clear"/>
          <w:vertAlign w:val="baseline"/>
        </w:rPr>
      </w:pPr>
      <w:r w:rsidDel="00000000" w:rsidR="00000000" w:rsidRPr="00000000">
        <w:rPr>
          <w:rtl w:val="0"/>
        </w:rPr>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7"/>
        <w:gridCol w:w="6469"/>
        <w:tblGridChange w:id="0">
          <w:tblGrid>
            <w:gridCol w:w="2547"/>
            <w:gridCol w:w="6469"/>
          </w:tblGrid>
        </w:tblGridChange>
      </w:tblGrid>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Contact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Address</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Registration Number: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DUNS Number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SID4GOV ID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Method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[Insert payment method(s) and necessary details]</w:t>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Authorised Representative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Data Protection Officer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Representative of the Supplier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6"/>
          <w:szCs w:val="6"/>
          <w:u w:val="none"/>
          <w:shd w:fill="auto" w:val="clear"/>
          <w:vertAlign w:val="baseline"/>
        </w:rPr>
      </w:pPr>
      <w:r w:rsidDel="00000000" w:rsidR="00000000" w:rsidRPr="00000000">
        <w:rPr>
          <w:rtl w:val="0"/>
        </w:rPr>
      </w:r>
    </w:p>
    <w:tbl>
      <w:tblPr>
        <w:tblStyle w:val="Table3"/>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47"/>
        <w:gridCol w:w="6469"/>
        <w:tblGridChange w:id="0">
          <w:tblGrid>
            <w:gridCol w:w="2547"/>
            <w:gridCol w:w="6469"/>
          </w:tblGrid>
        </w:tblGridChange>
      </w:tblGrid>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Ref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RM6168</w:t>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Lot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pStyle w:val="Heading1"/>
              <w:numPr>
                <w:ilvl w:val="0"/>
                <w:numId w:val="8"/>
              </w:numPr>
              <w:ind w:left="502" w:firstLine="0"/>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Estate Management Services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(Order) Ref</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(Order)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Charges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Guidance</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day falling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xxx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months after the Call-Off Start Date.</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you can change the Call-Off Expiry Date by amending the content of this box</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None</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you can provide for an Extension Period by stating the duration in this box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24"/>
                <w:szCs w:val="24"/>
                <w:highlight w:val="yellow"/>
                <w:u w:val="none"/>
                <w:vertAlign w:val="baseline"/>
                <w:rtl w:val="0"/>
              </w:rPr>
              <w:t xml:space="preserve">The total period</w:t>
            </w:r>
            <w:r w:rsidDel="00000000" w:rsidR="00000000" w:rsidRPr="00000000">
              <w:rPr>
                <w:rFonts w:ascii="Arial" w:cs="Arial" w:eastAsia="Arial" w:hAnsi="Arial"/>
                <w:b w:val="0"/>
                <w:i w:val="0"/>
                <w:smallCaps w:val="0"/>
                <w:strike w:val="0"/>
                <w:color w:val="ff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24"/>
                <w:szCs w:val="24"/>
                <w:highlight w:val="yellow"/>
                <w:u w:val="none"/>
                <w:vertAlign w:val="baseline"/>
                <w:rtl w:val="0"/>
              </w:rPr>
              <w:t xml:space="preserve">must not exceed 12 months.</w:t>
            </w: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Maximum Liability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limitation of liability for this Call-Off Contract is stated in Clause 11.2 of the Core Terms.</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you can change the cap on liability in Clause 11.2 where you have made an appropriate risk assessment and sought the necessary management approvals. Unlimited liability is not permitted</w:t>
            </w: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Estimated Year 1 Charges used to calculate liability in the first Contract Year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documents listed in Part 2 of the Order Form under the heading “Call-Off Incorporated Terms” are incorporated into this Call-Off Contract and the order of precedence listed. Where numbers are missing those schedules are not incorporated into the Call-Off Contract. </w:t>
      </w:r>
      <w:r w:rsidDel="00000000" w:rsidR="00000000" w:rsidRPr="00000000">
        <w:rPr>
          <w:rtl w:val="0"/>
        </w:rPr>
      </w:r>
    </w:p>
    <w:p w:rsidR="00000000" w:rsidDel="00000000" w:rsidP="00000000" w:rsidRDefault="00000000" w:rsidRPr="00000000" w14:paraId="0000006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other Supplier terms are part of the Call-Off Contract. This includes any terms that have either been written on the back of, or added to, this Order Form, or presented to the Buyer at the time of Delivery. </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tbl>
      <w:tblPr>
        <w:tblStyle w:val="Table4"/>
        <w:tblW w:w="975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756"/>
        <w:tblGridChange w:id="0">
          <w:tblGrid>
            <w:gridCol w:w="9756"/>
          </w:tblGrid>
        </w:tblGridChange>
      </w:tblGrid>
      <w:tr>
        <w:trPr>
          <w:trHeight w:val="340" w:hRule="atLeast"/>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requirement</w:t>
            </w:r>
          </w:p>
        </w:tc>
      </w:tr>
      <w:tr>
        <w:trPr>
          <w:trHeight w:val="3724"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details of your requirement here</w:t>
            </w: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OF THE DELIVERABLES </w:t>
      </w:r>
    </w:p>
    <w:tbl>
      <w:tblPr>
        <w:tblStyle w:val="Table5"/>
        <w:tblW w:w="953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36"/>
        <w:tblGridChange w:id="0">
          <w:tblGrid>
            <w:gridCol w:w="9536"/>
          </w:tblGrid>
        </w:tblGridChange>
      </w:tblGrid>
      <w:tr>
        <w:trPr>
          <w:trHeight w:val="338" w:hRule="atLeast"/>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r>
      <w:tr>
        <w:trPr>
          <w:trHeight w:val="338"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contact details of key supplier staff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trHeight w:val="327" w:hRule="atLeast"/>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Subcontractors</w:t>
            </w:r>
            <w:r w:rsidDel="00000000" w:rsidR="00000000" w:rsidRPr="00000000">
              <w:rPr>
                <w:rtl w:val="0"/>
              </w:rPr>
            </w:r>
          </w:p>
        </w:tc>
      </w:tr>
      <w:tr>
        <w:trPr>
          <w:trHeight w:val="338"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name of key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sub-contractors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if required</w:t>
            </w:r>
            <w:r w:rsidDel="00000000" w:rsidR="00000000" w:rsidRPr="00000000">
              <w:rPr>
                <w:rtl w:val="0"/>
              </w:rPr>
            </w:r>
          </w:p>
        </w:tc>
      </w:tr>
    </w:tbl>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 </w:t>
      </w:r>
    </w:p>
    <w:tbl>
      <w:tblPr>
        <w:tblStyle w:val="Table6"/>
        <w:tblW w:w="953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36"/>
        <w:tblGridChange w:id="0">
          <w:tblGrid>
            <w:gridCol w:w="9536"/>
          </w:tblGrid>
        </w:tblGridChange>
      </w:tblGrid>
      <w:tr>
        <w:trPr>
          <w:trHeight w:val="338" w:hRule="atLeast"/>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 1</w:t>
            </w:r>
          </w:p>
        </w:tc>
      </w:tr>
      <w:tr>
        <w:trPr>
          <w:trHeight w:val="338"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Buyer guidance: Call-Off Schedule 17 (MOD Terms) applies. Delete if not applicable </w:t>
              <w:tab/>
            </w: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tl w:val="0"/>
              </w:rPr>
            </w:r>
          </w:p>
        </w:tc>
      </w:tr>
    </w:tb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53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36"/>
        <w:tblGridChange w:id="0">
          <w:tblGrid>
            <w:gridCol w:w="9536"/>
          </w:tblGrid>
        </w:tblGridChange>
      </w:tblGrid>
      <w:tr>
        <w:trPr>
          <w:trHeight w:val="338" w:hRule="atLeast"/>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 2</w:t>
            </w:r>
          </w:p>
        </w:tc>
      </w:tr>
      <w:tr>
        <w:trPr>
          <w:trHeight w:val="338"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Buyer guidance: Call-Off Schedule 19 (Scottish Law) or Call-off Schedule 21 (Northern Ireland Law) applies. Delete if not applicable</w:t>
            </w:r>
            <w:r w:rsidDel="00000000" w:rsidR="00000000" w:rsidRPr="00000000">
              <w:rPr>
                <w:rtl w:val="0"/>
              </w:rPr>
            </w:r>
          </w:p>
        </w:tc>
      </w:tr>
    </w:tbl>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8"/>
        <w:tblW w:w="953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36"/>
        <w:tblGridChange w:id="0">
          <w:tblGrid>
            <w:gridCol w:w="9536"/>
          </w:tblGrid>
        </w:tblGridChange>
      </w:tblGrid>
      <w:tr>
        <w:trPr>
          <w:trHeight w:val="338" w:hRule="atLeast"/>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 3</w:t>
            </w:r>
          </w:p>
        </w:tc>
      </w:tr>
      <w:tr>
        <w:trPr>
          <w:trHeight w:val="338"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any special terms which will apply to the Call-Off Contract here, e.g. any additional security requirements or any additional business continuity and disaster recovery requirements]</w:t>
            </w:r>
            <w:r w:rsidDel="00000000" w:rsidR="00000000" w:rsidRPr="00000000">
              <w:rPr>
                <w:rtl w:val="0"/>
              </w:rPr>
            </w:r>
          </w:p>
        </w:tc>
      </w:tr>
    </w:tbl>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0" w:lineRule="auto"/>
        <w:ind w:left="0" w:right="0" w:firstLine="0"/>
        <w:jc w:val="left"/>
        <w:rPr>
          <w:rFonts w:ascii="Arial" w:cs="Arial" w:eastAsia="Arial" w:hAnsi="Arial"/>
          <w:b w:val="1"/>
          <w:i w:val="0"/>
          <w:smallCaps w:val="0"/>
          <w:strike w:val="0"/>
          <w:color w:val="000000"/>
          <w:sz w:val="16"/>
          <w:szCs w:val="16"/>
          <w:u w:val="none"/>
          <w:shd w:fill="auto" w:val="clear"/>
          <w:vertAlign w:val="baseline"/>
        </w:rPr>
      </w:pPr>
      <w:r w:rsidDel="00000000" w:rsidR="00000000" w:rsidRPr="00000000">
        <w:rPr>
          <w:rtl w:val="0"/>
        </w:rPr>
      </w:r>
    </w:p>
    <w:tbl>
      <w:tblPr>
        <w:tblStyle w:val="Table9"/>
        <w:tblW w:w="9099.0" w:type="dxa"/>
        <w:jc w:val="left"/>
        <w:tblInd w:w="0.0" w:type="dxa"/>
        <w:tblBorders>
          <w:top w:color="95b3d7" w:space="0" w:sz="4" w:val="single"/>
          <w:bottom w:color="95b3d7" w:space="0" w:sz="4" w:val="single"/>
          <w:right w:color="95b3d7" w:space="0" w:sz="4" w:val="single"/>
          <w:insideH w:color="95b3d7" w:space="0" w:sz="4" w:val="single"/>
          <w:insideV w:color="95b3d7" w:space="0" w:sz="4" w:val="single"/>
        </w:tblBorders>
        <w:tblLayout w:type="fixed"/>
        <w:tblLook w:val="0000"/>
      </w:tblPr>
      <w:tblGrid>
        <w:gridCol w:w="1514"/>
        <w:gridCol w:w="2957"/>
        <w:gridCol w:w="1544"/>
        <w:gridCol w:w="3084"/>
        <w:tblGridChange w:id="0">
          <w:tblGrid>
            <w:gridCol w:w="1514"/>
            <w:gridCol w:w="2957"/>
            <w:gridCol w:w="1544"/>
            <w:gridCol w:w="3084"/>
          </w:tblGrid>
        </w:tblGridChange>
      </w:tblGrid>
      <w:tr>
        <w:trPr>
          <w:trHeight w:val="655" w:hRule="atLeast"/>
        </w:trPr>
        <w:tc>
          <w:tcPr>
            <w:gridSpan w:val="2"/>
            <w:tcBorders>
              <w:top w:color="95b3d7" w:space="0" w:sz="4" w:val="single"/>
              <w:bottom w:color="95b3d7" w:space="0" w:sz="4" w:val="single"/>
              <w:right w:color="95b3d7" w:space="0" w:sz="4" w:val="single"/>
            </w:tcBorders>
            <w:shd w:fill="dbe5f1" w:val="clear"/>
          </w:tcPr>
          <w:p w:rsidR="00000000" w:rsidDel="00000000" w:rsidP="00000000" w:rsidRDefault="00000000" w:rsidRPr="00000000" w14:paraId="0000009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Borders>
              <w:top w:color="95b3d7" w:space="0" w:sz="4" w:val="single"/>
              <w:left w:color="95b3d7" w:space="0" w:sz="4" w:val="single"/>
              <w:bottom w:color="95b3d7" w:space="0" w:sz="4" w:val="single"/>
              <w:right w:color="000000" w:space="0" w:sz="4" w:val="single"/>
            </w:tcBorders>
            <w:shd w:fill="dbe5f1" w:val="clear"/>
          </w:tcPr>
          <w:p w:rsidR="00000000" w:rsidDel="00000000" w:rsidP="00000000" w:rsidRDefault="00000000" w:rsidRPr="00000000" w14:paraId="0000009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tc>
      </w:tr>
      <w:tr>
        <w:trPr>
          <w:trHeight w:val="655" w:hRule="atLeast"/>
        </w:trPr>
        <w:tc>
          <w:tcPr>
            <w:tcBorders>
              <w:top w:color="95b3d7" w:space="0" w:sz="4" w:val="single"/>
              <w:bottom w:color="95b3d7" w:space="0" w:sz="4" w:val="single"/>
              <w:right w:color="95b3d7" w:space="0" w:sz="4" w:val="single"/>
            </w:tcBorders>
            <w:shd w:fill="dbe5f1" w:val="clear"/>
          </w:tcPr>
          <w:p w:rsidR="00000000" w:rsidDel="00000000" w:rsidP="00000000" w:rsidRDefault="00000000" w:rsidRPr="00000000" w14:paraId="0000009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tcBorders>
              <w:top w:color="95b3d7" w:space="0" w:sz="4" w:val="single"/>
              <w:left w:color="95b3d7" w:space="0" w:sz="4" w:val="single"/>
              <w:bottom w:color="95b3d7" w:space="0" w:sz="4" w:val="single"/>
              <w:right w:color="95b3d7" w:space="0" w:sz="4" w:val="single"/>
            </w:tcBorders>
            <w:shd w:fill="auto" w:val="clear"/>
          </w:tcPr>
          <w:p w:rsidR="00000000" w:rsidDel="00000000" w:rsidP="00000000" w:rsidRDefault="00000000" w:rsidRPr="00000000" w14:paraId="0000009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09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tcBorders>
              <w:top w:color="95b3d7" w:space="0" w:sz="4" w:val="single"/>
              <w:left w:color="95b3d7" w:space="0" w:sz="4" w:val="single"/>
              <w:bottom w:color="95b3d7" w:space="0" w:sz="4" w:val="single"/>
              <w:right w:color="000000" w:space="0" w:sz="4" w:val="single"/>
            </w:tcBorders>
            <w:shd w:fill="auto" w:val="clear"/>
          </w:tcPr>
          <w:p w:rsidR="00000000" w:rsidDel="00000000" w:rsidP="00000000" w:rsidRDefault="00000000" w:rsidRPr="00000000" w14:paraId="0000009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55" w:hRule="atLeast"/>
        </w:trPr>
        <w:tc>
          <w:tcPr>
            <w:tcBorders>
              <w:top w:color="95b3d7" w:space="0" w:sz="4" w:val="single"/>
              <w:bottom w:color="95b3d7" w:space="0" w:sz="4" w:val="single"/>
              <w:right w:color="95b3d7" w:space="0" w:sz="4" w:val="single"/>
            </w:tcBorders>
            <w:shd w:fill="dbe5f1" w:val="clear"/>
          </w:tcPr>
          <w:p w:rsidR="00000000" w:rsidDel="00000000" w:rsidP="00000000" w:rsidRDefault="00000000" w:rsidRPr="00000000" w14:paraId="0000009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09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09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tcBorders>
              <w:top w:color="95b3d7" w:space="0" w:sz="4" w:val="single"/>
              <w:left w:color="95b3d7" w:space="0" w:sz="4" w:val="single"/>
              <w:bottom w:color="95b3d7" w:space="0" w:sz="4" w:val="single"/>
              <w:right w:color="000000" w:space="0" w:sz="4" w:val="single"/>
            </w:tcBorders>
            <w:shd w:fill="dbe5f1" w:val="clear"/>
          </w:tcPr>
          <w:p w:rsidR="00000000" w:rsidDel="00000000" w:rsidP="00000000" w:rsidRDefault="00000000" w:rsidRPr="00000000" w14:paraId="0000009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55" w:hRule="atLeast"/>
        </w:trPr>
        <w:tc>
          <w:tcPr>
            <w:tcBorders>
              <w:top w:color="95b3d7" w:space="0" w:sz="4" w:val="single"/>
              <w:bottom w:color="95b3d7" w:space="0" w:sz="4" w:val="single"/>
              <w:right w:color="95b3d7" w:space="0" w:sz="4" w:val="single"/>
            </w:tcBorders>
            <w:shd w:fill="dbe5f1" w:val="clear"/>
          </w:tcPr>
          <w:p w:rsidR="00000000" w:rsidDel="00000000" w:rsidP="00000000" w:rsidRDefault="00000000" w:rsidRPr="00000000" w14:paraId="0000009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tcBorders>
              <w:top w:color="95b3d7" w:space="0" w:sz="4" w:val="single"/>
              <w:left w:color="95b3d7" w:space="0" w:sz="4" w:val="single"/>
              <w:bottom w:color="95b3d7" w:space="0" w:sz="4" w:val="single"/>
              <w:right w:color="95b3d7" w:space="0" w:sz="4" w:val="single"/>
            </w:tcBorders>
            <w:shd w:fill="auto" w:val="clear"/>
          </w:tcPr>
          <w:p w:rsidR="00000000" w:rsidDel="00000000" w:rsidP="00000000" w:rsidRDefault="00000000" w:rsidRPr="00000000" w14:paraId="0000009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09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tcBorders>
              <w:top w:color="95b3d7" w:space="0" w:sz="4" w:val="single"/>
              <w:left w:color="95b3d7" w:space="0" w:sz="4" w:val="single"/>
              <w:bottom w:color="95b3d7" w:space="0" w:sz="4" w:val="single"/>
              <w:right w:color="000000" w:space="0" w:sz="4" w:val="single"/>
            </w:tcBorders>
            <w:shd w:fill="auto" w:val="clear"/>
          </w:tcPr>
          <w:p w:rsidR="00000000" w:rsidDel="00000000" w:rsidP="00000000" w:rsidRDefault="00000000" w:rsidRPr="00000000" w14:paraId="000000A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90" w:hRule="atLeast"/>
        </w:trPr>
        <w:tc>
          <w:tcPr>
            <w:tcBorders>
              <w:top w:color="95b3d7" w:space="0" w:sz="4" w:val="single"/>
              <w:bottom w:color="95b3d7" w:space="0" w:sz="4" w:val="single"/>
              <w:right w:color="95b3d7" w:space="0" w:sz="4" w:val="single"/>
            </w:tcBorders>
            <w:shd w:fill="dbe5f1" w:val="clear"/>
          </w:tcPr>
          <w:p w:rsidR="00000000" w:rsidDel="00000000" w:rsidP="00000000" w:rsidRDefault="00000000" w:rsidRPr="00000000" w14:paraId="000000A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0A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95b3d7" w:space="0" w:sz="4" w:val="single"/>
              <w:left w:color="95b3d7" w:space="0" w:sz="4" w:val="single"/>
              <w:bottom w:color="95b3d7" w:space="0" w:sz="4" w:val="single"/>
              <w:right w:color="95b3d7" w:space="0" w:sz="4" w:val="single"/>
            </w:tcBorders>
            <w:shd w:fill="dbe5f1" w:val="clear"/>
          </w:tcPr>
          <w:p w:rsidR="00000000" w:rsidDel="00000000" w:rsidP="00000000" w:rsidRDefault="00000000" w:rsidRPr="00000000" w14:paraId="000000A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tcBorders>
              <w:top w:color="95b3d7" w:space="0" w:sz="4" w:val="single"/>
              <w:left w:color="95b3d7" w:space="0" w:sz="4" w:val="single"/>
              <w:bottom w:color="95b3d7" w:space="0" w:sz="4" w:val="single"/>
              <w:right w:color="000000" w:space="0" w:sz="4" w:val="single"/>
            </w:tcBorders>
            <w:shd w:fill="dbe5f1" w:val="clear"/>
          </w:tcPr>
          <w:p w:rsidR="00000000" w:rsidDel="00000000" w:rsidP="00000000" w:rsidRDefault="00000000" w:rsidRPr="00000000" w14:paraId="000000A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1"/>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2 – Other Applicable Terms</w:t>
      </w:r>
    </w:p>
    <w:p w:rsidR="00000000" w:rsidDel="00000000" w:rsidP="00000000" w:rsidRDefault="00000000" w:rsidRPr="00000000" w14:paraId="000000A8">
      <w:pPr>
        <w:keepNext w:val="1"/>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1"/>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INCORPORATED TERMS</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A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Order Form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Call-Off Special Terms.</w:t>
      </w:r>
    </w:p>
    <w:p w:rsidR="00000000" w:rsidDel="00000000" w:rsidP="00000000" w:rsidRDefault="00000000" w:rsidRPr="00000000" w14:paraId="000000A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(Definitions and Interpretation)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RM6168</w:t>
      </w:r>
      <w:r w:rsidDel="00000000" w:rsidR="00000000" w:rsidRPr="00000000">
        <w:rPr>
          <w:rtl w:val="0"/>
        </w:rPr>
      </w:r>
    </w:p>
    <w:p w:rsidR="00000000" w:rsidDel="00000000" w:rsidP="00000000" w:rsidRDefault="00000000" w:rsidRPr="00000000" w14:paraId="000000A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Framework Special Terms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Remove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this guidance too.</w:t>
      </w:r>
      <w:r w:rsidDel="00000000" w:rsidR="00000000" w:rsidRPr="00000000">
        <w:rPr>
          <w:rtl w:val="0"/>
        </w:rPr>
      </w:r>
    </w:p>
    <w:p w:rsidR="00000000" w:rsidDel="00000000" w:rsidP="00000000" w:rsidRDefault="00000000" w:rsidRPr="00000000" w14:paraId="000000AE">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Schedules in equal order of precedence:</w:t>
      </w:r>
      <w:r w:rsidDel="00000000" w:rsidR="00000000" w:rsidRPr="00000000">
        <w:rPr>
          <w:rtl w:val="0"/>
        </w:rPr>
      </w:r>
    </w:p>
    <w:p w:rsidR="00000000" w:rsidDel="00000000" w:rsidP="00000000" w:rsidRDefault="00000000" w:rsidRPr="00000000" w14:paraId="000000AF">
      <w:pPr>
        <w:keepNext w:val="1"/>
        <w:keepLines w:val="0"/>
        <w:widowControl w:val="1"/>
        <w:pBdr>
          <w:top w:space="0" w:sz="0" w:val="nil"/>
          <w:left w:space="0" w:sz="0" w:val="nil"/>
          <w:bottom w:space="0" w:sz="0" w:val="nil"/>
          <w:right w:space="0" w:sz="0" w:val="nil"/>
          <w:between w:space="0" w:sz="0" w:val="nil"/>
        </w:pBdr>
        <w:shd w:fill="auto" w:val="clear"/>
        <w:spacing w:after="0" w:before="0" w:line="242"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Schedules for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RM6168</w:t>
      </w:r>
      <w:r w:rsidDel="00000000" w:rsidR="00000000" w:rsidRPr="00000000">
        <w:rPr>
          <w:rtl w:val="0"/>
        </w:rPr>
      </w:r>
    </w:p>
    <w:p w:rsidR="00000000" w:rsidDel="00000000" w:rsidP="00000000" w:rsidRDefault="00000000" w:rsidRPr="00000000" w14:paraId="000000B1">
      <w:pPr>
        <w:numPr>
          <w:ilvl w:val="0"/>
          <w:numId w:val="2"/>
        </w:numPr>
        <w:spacing w:after="0"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Schedules for </w:t>
      </w:r>
      <w:r w:rsidDel="00000000" w:rsidR="00000000" w:rsidRPr="00000000">
        <w:rPr>
          <w:rFonts w:ascii="Arial" w:cs="Arial" w:eastAsia="Arial" w:hAnsi="Arial"/>
          <w:b w:val="1"/>
          <w:sz w:val="24"/>
          <w:szCs w:val="24"/>
          <w:highlight w:val="yellow"/>
          <w:rtl w:val="0"/>
        </w:rPr>
        <w:t xml:space="preserve">RM6168</w:t>
      </w:r>
      <w:r w:rsidDel="00000000" w:rsidR="00000000" w:rsidRPr="00000000">
        <w:rPr>
          <w:rtl w:val="0"/>
        </w:rPr>
      </w:r>
    </w:p>
    <w:p w:rsidR="00000000" w:rsidDel="00000000" w:rsidP="00000000" w:rsidRDefault="00000000" w:rsidRPr="00000000" w14:paraId="000000B2">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2 (Variation Form) </w:t>
      </w:r>
      <w:r w:rsidDel="00000000" w:rsidR="00000000" w:rsidRPr="00000000">
        <w:rPr>
          <w:rtl w:val="0"/>
        </w:rPr>
      </w:r>
    </w:p>
    <w:p w:rsidR="00000000" w:rsidDel="00000000" w:rsidP="00000000" w:rsidRDefault="00000000" w:rsidRPr="00000000" w14:paraId="000000B3">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3 (Insurance Requirements)</w:t>
      </w:r>
      <w:r w:rsidDel="00000000" w:rsidR="00000000" w:rsidRPr="00000000">
        <w:rPr>
          <w:rtl w:val="0"/>
        </w:rPr>
      </w:r>
    </w:p>
    <w:p w:rsidR="00000000" w:rsidDel="00000000" w:rsidP="00000000" w:rsidRDefault="00000000" w:rsidRPr="00000000" w14:paraId="000000B4">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4 (Commercially Sensitive Information)</w:t>
      </w:r>
      <w:r w:rsidDel="00000000" w:rsidR="00000000" w:rsidRPr="00000000">
        <w:rPr>
          <w:rtl w:val="0"/>
        </w:rPr>
      </w:r>
    </w:p>
    <w:p w:rsidR="00000000" w:rsidDel="00000000" w:rsidP="00000000" w:rsidRDefault="00000000" w:rsidRPr="00000000" w14:paraId="000000B5">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6 (Key Subcontractors)</w:t>
        <w:tab/>
        <w:tab/>
        <w:tab/>
      </w:r>
      <w:r w:rsidDel="00000000" w:rsidR="00000000" w:rsidRPr="00000000">
        <w:rPr>
          <w:rtl w:val="0"/>
        </w:rPr>
      </w:r>
    </w:p>
    <w:p w:rsidR="00000000" w:rsidDel="00000000" w:rsidP="00000000" w:rsidRDefault="00000000" w:rsidRPr="00000000" w14:paraId="000000B6">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7 (Financial Difficulties) </w:t>
        <w:tab/>
        <w:tab/>
        <w:tab/>
      </w:r>
      <w:r w:rsidDel="00000000" w:rsidR="00000000" w:rsidRPr="00000000">
        <w:rPr>
          <w:rtl w:val="0"/>
        </w:rPr>
      </w:r>
    </w:p>
    <w:p w:rsidR="00000000" w:rsidDel="00000000" w:rsidP="00000000" w:rsidRDefault="00000000" w:rsidRPr="00000000" w14:paraId="000000B7">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8 (Guarantee) </w:t>
        <w:tab/>
        <w:tab/>
        <w:tab/>
        <w:tab/>
      </w:r>
      <w:r w:rsidDel="00000000" w:rsidR="00000000" w:rsidRPr="00000000">
        <w:rPr>
          <w:rtl w:val="0"/>
        </w:rPr>
      </w:r>
    </w:p>
    <w:p w:rsidR="00000000" w:rsidDel="00000000" w:rsidP="00000000" w:rsidRDefault="00000000" w:rsidRPr="00000000" w14:paraId="000000B8">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9 (Minimum Standards of Reliability)</w:t>
        <w:tab/>
      </w:r>
      <w:r w:rsidDel="00000000" w:rsidR="00000000" w:rsidRPr="00000000">
        <w:rPr>
          <w:rtl w:val="0"/>
        </w:rPr>
      </w:r>
    </w:p>
    <w:p w:rsidR="00000000" w:rsidDel="00000000" w:rsidP="00000000" w:rsidRDefault="00000000" w:rsidRPr="00000000" w14:paraId="000000B9">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10 (Rectification Plan) </w:t>
        <w:tab/>
        <w:tab/>
        <w:tab/>
      </w:r>
      <w:r w:rsidDel="00000000" w:rsidR="00000000" w:rsidRPr="00000000">
        <w:rPr>
          <w:rtl w:val="0"/>
        </w:rPr>
      </w:r>
    </w:p>
    <w:p w:rsidR="00000000" w:rsidDel="00000000" w:rsidP="00000000" w:rsidRDefault="00000000" w:rsidRPr="00000000" w14:paraId="000000BA">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11 (Processing Data)</w:t>
        <w:tab/>
      </w:r>
      <w:r w:rsidDel="00000000" w:rsidR="00000000" w:rsidRPr="00000000">
        <w:rPr>
          <w:rtl w:val="0"/>
        </w:rPr>
      </w:r>
    </w:p>
    <w:p w:rsidR="00000000" w:rsidDel="00000000" w:rsidP="00000000" w:rsidRDefault="00000000" w:rsidRPr="00000000" w14:paraId="000000BB">
      <w:pPr>
        <w:numPr>
          <w:ilvl w:val="0"/>
          <w:numId w:val="2"/>
        </w:numPr>
        <w:spacing w:after="0" w:line="259" w:lineRule="auto"/>
        <w:ind w:left="108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Joint Schedule 12 (Supply Chain Visibility)</w:t>
        <w:tab/>
      </w: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180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r w:rsidDel="00000000" w:rsidR="00000000" w:rsidRPr="00000000">
        <w:rPr>
          <w:rtl w:val="0"/>
        </w:rPr>
      </w:r>
    </w:p>
    <w:p w:rsidR="00000000" w:rsidDel="00000000" w:rsidP="00000000" w:rsidRDefault="00000000" w:rsidRPr="00000000" w14:paraId="000000BE">
      <w:pPr>
        <w:spacing w:after="0" w:line="24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Call-Off Schedules for </w:t>
      </w:r>
      <w:r w:rsidDel="00000000" w:rsidR="00000000" w:rsidRPr="00000000">
        <w:rPr>
          <w:rFonts w:ascii="Arial" w:cs="Arial" w:eastAsia="Arial" w:hAnsi="Arial"/>
          <w:b w:val="1"/>
          <w:sz w:val="24"/>
          <w:szCs w:val="24"/>
          <w:rtl w:val="0"/>
        </w:rPr>
        <w:t xml:space="preserve">RM6168</w:t>
      </w:r>
      <w:r w:rsidDel="00000000" w:rsidR="00000000" w:rsidRPr="00000000">
        <w:rPr>
          <w:rtl w:val="0"/>
        </w:rPr>
      </w:r>
    </w:p>
    <w:p w:rsidR="00000000" w:rsidDel="00000000" w:rsidP="00000000" w:rsidRDefault="00000000" w:rsidRPr="00000000" w14:paraId="000000BF">
      <w:pPr>
        <w:spacing w:after="0" w:line="240" w:lineRule="auto"/>
        <w:ind w:left="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C0">
      <w:pPr>
        <w:numPr>
          <w:ilvl w:val="0"/>
          <w:numId w:val="5"/>
        </w:numPr>
        <w:spacing w:after="0" w:line="240"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Order Form- Template-Short-Form</w:t>
        <w:tab/>
      </w:r>
      <w:r w:rsidDel="00000000" w:rsidR="00000000" w:rsidRPr="00000000">
        <w:rPr>
          <w:rtl w:val="0"/>
        </w:rPr>
      </w:r>
    </w:p>
    <w:p w:rsidR="00000000" w:rsidDel="00000000" w:rsidP="00000000" w:rsidRDefault="00000000" w:rsidRPr="00000000" w14:paraId="000000C1">
      <w:pPr>
        <w:numPr>
          <w:ilvl w:val="0"/>
          <w:numId w:val="5"/>
        </w:numPr>
        <w:spacing w:after="0" w:line="240"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 (Transparency Reports)</w:t>
      </w:r>
    </w:p>
    <w:p w:rsidR="00000000" w:rsidDel="00000000" w:rsidP="00000000" w:rsidRDefault="00000000" w:rsidRPr="00000000" w14:paraId="000000C2">
      <w:pPr>
        <w:numPr>
          <w:ilvl w:val="0"/>
          <w:numId w:val="5"/>
        </w:numPr>
        <w:spacing w:after="0" w:line="240"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2 (Staff Transfer)</w:t>
      </w:r>
    </w:p>
    <w:p w:rsidR="00000000" w:rsidDel="00000000" w:rsidP="00000000" w:rsidRDefault="00000000" w:rsidRPr="00000000" w14:paraId="000000C3">
      <w:pPr>
        <w:numPr>
          <w:ilvl w:val="0"/>
          <w:numId w:val="5"/>
        </w:numPr>
        <w:spacing w:after="0" w:line="240"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3 (Continuous Improvement)</w:t>
      </w:r>
    </w:p>
    <w:p w:rsidR="00000000" w:rsidDel="00000000" w:rsidP="00000000" w:rsidRDefault="00000000" w:rsidRPr="00000000" w14:paraId="000000C4">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4 (Call Off tender (V3.1)</w:t>
      </w:r>
    </w:p>
    <w:p w:rsidR="00000000" w:rsidDel="00000000" w:rsidP="00000000" w:rsidRDefault="00000000" w:rsidRPr="00000000" w14:paraId="000000C5">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5 (Pricing Details)</w:t>
        <w:tab/>
        <w:tab/>
        <w:tab/>
        <w:t xml:space="preserve"> </w:t>
      </w:r>
      <w:r w:rsidDel="00000000" w:rsidR="00000000" w:rsidRPr="00000000">
        <w:rPr>
          <w:rtl w:val="0"/>
        </w:rPr>
      </w:r>
    </w:p>
    <w:p w:rsidR="00000000" w:rsidDel="00000000" w:rsidP="00000000" w:rsidRDefault="00000000" w:rsidRPr="00000000" w14:paraId="000000C6">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6 (ICT Services) </w:t>
        <w:tab/>
        <w:tab/>
        <w:tab/>
        <w:tab/>
        <w:tab/>
        <w:t xml:space="preserve"> </w:t>
      </w:r>
      <w:r w:rsidDel="00000000" w:rsidR="00000000" w:rsidRPr="00000000">
        <w:rPr>
          <w:rtl w:val="0"/>
        </w:rPr>
      </w:r>
    </w:p>
    <w:p w:rsidR="00000000" w:rsidDel="00000000" w:rsidP="00000000" w:rsidRDefault="00000000" w:rsidRPr="00000000" w14:paraId="000000C7">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7 (Key Supplier Staff)</w:t>
        <w:tab/>
        <w:tab/>
        <w:t xml:space="preserve"> </w:t>
        <w:tab/>
        <w:tab/>
        <w:t xml:space="preserve"> </w:t>
      </w:r>
      <w:r w:rsidDel="00000000" w:rsidR="00000000" w:rsidRPr="00000000">
        <w:rPr>
          <w:rtl w:val="0"/>
        </w:rPr>
      </w:r>
    </w:p>
    <w:p w:rsidR="00000000" w:rsidDel="00000000" w:rsidP="00000000" w:rsidRDefault="00000000" w:rsidRPr="00000000" w14:paraId="000000C8">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C9">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9 (Security)</w:t>
        <w:tab/>
        <w:tab/>
        <w:t xml:space="preserve"> </w:t>
        <w:tab/>
        <w:tab/>
        <w:t xml:space="preserve">  </w:t>
        <w:tab/>
        <w:t xml:space="preserve">  </w:t>
      </w:r>
      <w:r w:rsidDel="00000000" w:rsidR="00000000" w:rsidRPr="00000000">
        <w:rPr>
          <w:rtl w:val="0"/>
        </w:rPr>
      </w:r>
    </w:p>
    <w:p w:rsidR="00000000" w:rsidDel="00000000" w:rsidP="00000000" w:rsidRDefault="00000000" w:rsidRPr="00000000" w14:paraId="000000CA">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10 (Exit Management) </w:t>
        <w:tab/>
        <w:tab/>
        <w:tab/>
        <w:t xml:space="preserve"> </w:t>
        <w:tab/>
        <w:t xml:space="preserve"> </w:t>
      </w:r>
      <w:r w:rsidDel="00000000" w:rsidR="00000000" w:rsidRPr="00000000">
        <w:rPr>
          <w:rtl w:val="0"/>
        </w:rPr>
      </w:r>
    </w:p>
    <w:p w:rsidR="00000000" w:rsidDel="00000000" w:rsidP="00000000" w:rsidRDefault="00000000" w:rsidRPr="00000000" w14:paraId="000000CB">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11 (Installation Works) </w:t>
        <w:tab/>
        <w:tab/>
        <w:tab/>
        <w:t xml:space="preserve">  </w:t>
        <w:tab/>
        <w:t xml:space="preserve"> </w:t>
      </w:r>
      <w:r w:rsidDel="00000000" w:rsidR="00000000" w:rsidRPr="00000000">
        <w:rPr>
          <w:rtl w:val="0"/>
        </w:rPr>
      </w:r>
    </w:p>
    <w:p w:rsidR="00000000" w:rsidDel="00000000" w:rsidP="00000000" w:rsidRDefault="00000000" w:rsidRPr="00000000" w14:paraId="000000CC">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12 (Clustering) </w:t>
        <w:tab/>
        <w:tab/>
        <w:tab/>
        <w:tab/>
        <w:tab/>
        <w:t xml:space="preserve"> </w:t>
      </w:r>
      <w:r w:rsidDel="00000000" w:rsidR="00000000" w:rsidRPr="00000000">
        <w:rPr>
          <w:rtl w:val="0"/>
        </w:rPr>
      </w:r>
    </w:p>
    <w:p w:rsidR="00000000" w:rsidDel="00000000" w:rsidP="00000000" w:rsidRDefault="00000000" w:rsidRPr="00000000" w14:paraId="000000CD">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13 (Implementation Plan and Testing) </w:t>
        <w:tab/>
        <w:tab/>
        <w:t xml:space="preserve"> </w:t>
      </w:r>
      <w:r w:rsidDel="00000000" w:rsidR="00000000" w:rsidRPr="00000000">
        <w:rPr>
          <w:rtl w:val="0"/>
        </w:rPr>
      </w:r>
    </w:p>
    <w:p w:rsidR="00000000" w:rsidDel="00000000" w:rsidP="00000000" w:rsidRDefault="00000000" w:rsidRPr="00000000" w14:paraId="000000CE">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14 (Service Levels) </w:t>
        <w:tab/>
        <w:tab/>
        <w:tab/>
        <w:tab/>
        <w:t xml:space="preserve"> </w:t>
      </w:r>
      <w:r w:rsidDel="00000000" w:rsidR="00000000" w:rsidRPr="00000000">
        <w:rPr>
          <w:rtl w:val="0"/>
        </w:rPr>
      </w:r>
    </w:p>
    <w:p w:rsidR="00000000" w:rsidDel="00000000" w:rsidP="00000000" w:rsidRDefault="00000000" w:rsidRPr="00000000" w14:paraId="000000CF">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15 (Call-Off Contract Management)</w:t>
      </w:r>
    </w:p>
    <w:p w:rsidR="00000000" w:rsidDel="00000000" w:rsidP="00000000" w:rsidRDefault="00000000" w:rsidRPr="00000000" w14:paraId="000000D0">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16 (Benchmarking </w:t>
        <w:tab/>
        <w:tab/>
        <w:t xml:space="preserve"> </w:t>
      </w:r>
      <w:r w:rsidDel="00000000" w:rsidR="00000000" w:rsidRPr="00000000">
        <w:rPr>
          <w:rtl w:val="0"/>
        </w:rPr>
      </w:r>
    </w:p>
    <w:p w:rsidR="00000000" w:rsidDel="00000000" w:rsidP="00000000" w:rsidRDefault="00000000" w:rsidRPr="00000000" w14:paraId="000000D1">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17 (MOD Terms) </w:t>
        <w:tab/>
        <w:tab/>
        <w:tab/>
        <w:tab/>
        <w:tab/>
        <w:t xml:space="preserve"> </w:t>
      </w:r>
      <w:r w:rsidDel="00000000" w:rsidR="00000000" w:rsidRPr="00000000">
        <w:rPr>
          <w:rtl w:val="0"/>
        </w:rPr>
      </w:r>
    </w:p>
    <w:p w:rsidR="00000000" w:rsidDel="00000000" w:rsidP="00000000" w:rsidRDefault="00000000" w:rsidRPr="00000000" w14:paraId="000000D2">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18 (Background Checks) </w:t>
        <w:tab/>
        <w:tab/>
        <w:tab/>
      </w:r>
      <w:r w:rsidDel="00000000" w:rsidR="00000000" w:rsidRPr="00000000">
        <w:rPr>
          <w:rtl w:val="0"/>
        </w:rPr>
      </w:r>
    </w:p>
    <w:p w:rsidR="00000000" w:rsidDel="00000000" w:rsidP="00000000" w:rsidRDefault="00000000" w:rsidRPr="00000000" w14:paraId="000000D3">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19 (Scottish Law)</w:t>
        <w:tab/>
        <w:tab/>
        <w:tab/>
        <w:tab/>
        <w:tab/>
      </w:r>
      <w:r w:rsidDel="00000000" w:rsidR="00000000" w:rsidRPr="00000000">
        <w:rPr>
          <w:rtl w:val="0"/>
        </w:rPr>
      </w:r>
    </w:p>
    <w:p w:rsidR="00000000" w:rsidDel="00000000" w:rsidP="00000000" w:rsidRDefault="00000000" w:rsidRPr="00000000" w14:paraId="000000D4">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20 (Call-Off Specification)</w:t>
        <w:tab/>
        <w:tab/>
        <w:tab/>
      </w:r>
      <w:r w:rsidDel="00000000" w:rsidR="00000000" w:rsidRPr="00000000">
        <w:rPr>
          <w:rtl w:val="0"/>
        </w:rPr>
      </w:r>
    </w:p>
    <w:p w:rsidR="00000000" w:rsidDel="00000000" w:rsidP="00000000" w:rsidRDefault="00000000" w:rsidRPr="00000000" w14:paraId="000000D5">
      <w:pPr>
        <w:numPr>
          <w:ilvl w:val="0"/>
          <w:numId w:val="5"/>
        </w:numPr>
        <w:spacing w:after="0" w:line="259" w:lineRule="auto"/>
        <w:ind w:left="720" w:hanging="360"/>
        <w:rPr>
          <w:rFonts w:ascii="Arial" w:cs="Arial" w:eastAsia="Arial" w:hAnsi="Arial"/>
          <w:sz w:val="24"/>
          <w:szCs w:val="24"/>
          <w:highlight w:val="yellow"/>
          <w:u w:val="none"/>
        </w:rPr>
      </w:pPr>
      <w:r w:rsidDel="00000000" w:rsidR="00000000" w:rsidRPr="00000000">
        <w:rPr>
          <w:rFonts w:ascii="Arial" w:cs="Arial" w:eastAsia="Arial" w:hAnsi="Arial"/>
          <w:sz w:val="24"/>
          <w:szCs w:val="24"/>
          <w:highlight w:val="yellow"/>
          <w:rtl w:val="0"/>
        </w:rPr>
        <w:t xml:space="preserve">Call-Off Schedule 21 (Northern Ireland Law)</w:t>
      </w:r>
    </w:p>
    <w:p w:rsidR="00000000" w:rsidDel="00000000" w:rsidP="00000000" w:rsidRDefault="00000000" w:rsidRPr="00000000" w14:paraId="000000D6">
      <w:pPr>
        <w:spacing w:after="0" w:line="259" w:lineRule="auto"/>
        <w:ind w:left="72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180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0D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Core Terms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version 3.0.</w:t>
      </w:r>
      <w:r w:rsidDel="00000000" w:rsidR="00000000" w:rsidRPr="00000000">
        <w:rPr>
          <w:rFonts w:ascii="Arial" w:cs="Arial" w:eastAsia="Arial" w:hAnsi="Arial"/>
          <w:sz w:val="24"/>
          <w:szCs w:val="24"/>
          <w:rtl w:val="0"/>
        </w:rPr>
        <w:t xml:space="preserve">10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D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2"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5 (Corporate Social Responsibility)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RM6168</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72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other Supplier terms are part of the Call-Off Contract. That includes any terms written on the back of, added to this Order Form, or presented at the time of delivery.</w:t>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w:t>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None</w:t>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w:t>
        <w:br w:type="textWrapping"/>
        <w:t xml:space="preserve">Not applicable</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INSURANCES</w:t>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SOCIAL VALUE COMMITMENT</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sz w:val="24"/>
          <w:szCs w:val="24"/>
          <w:highlight w:val="yellow"/>
          <w:rtl w:val="0"/>
        </w:rPr>
        <w:t xml:space="preserve">Buyer guidance: </w:t>
      </w:r>
      <w:r w:rsidDel="00000000" w:rsidR="00000000" w:rsidRPr="00000000">
        <w:rPr>
          <w:rFonts w:ascii="Arial" w:cs="Arial" w:eastAsia="Arial" w:hAnsi="Arial"/>
          <w:sz w:val="24"/>
          <w:szCs w:val="24"/>
          <w:highlight w:val="yellow"/>
          <w:rtl w:val="0"/>
        </w:rPr>
        <w:t xml:space="preserve">Insert any requirements under the Social Value Act 2012 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applicable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not </w:t>
      </w:r>
      <w:r w:rsidDel="00000000" w:rsidR="00000000" w:rsidRPr="00000000">
        <w:rPr>
          <w:rFonts w:ascii="Arial" w:cs="Arial" w:eastAsia="Arial" w:hAnsi="Arial"/>
          <w:sz w:val="24"/>
          <w:szCs w:val="24"/>
          <w:rtl w:val="0"/>
        </w:rPr>
        <w:t xml:space="preserve">needed</w:t>
      </w: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Calibri" w:cs="Calibri" w:eastAsia="Calibri" w:hAnsi="Calibri"/>
          <w:b w:val="0"/>
          <w:i w:val="0"/>
          <w:smallCaps w:val="0"/>
          <w:strike w:val="0"/>
          <w:color w:val="000000"/>
          <w:sz w:val="22"/>
          <w:szCs w:val="22"/>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Note: </w:t>
      </w: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will update this Order Form to reflect whether or not a guarantee is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required</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once the identity of the Supplier is known. That will depend on whether the availability of guarantees for Call-Off Contracts is a condition of the Supplier being awarded a Framework Contract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2"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8">
      <w:pPr>
        <w:pStyle w:val="Heading2"/>
        <w:numPr>
          <w:ilvl w:val="1"/>
          <w:numId w:val="8"/>
        </w:numPr>
        <w:tabs>
          <w:tab w:val="left" w:pos="0"/>
        </w:tabs>
        <w:spacing w:after="240" w:before="0" w:lineRule="auto"/>
        <w:ind w:left="709" w:hanging="709"/>
        <w:rPr/>
      </w:pP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EA">
      <w:pPr>
        <w:keepNext w:val="1"/>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20" w:right="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Processor shall comply with any further written instructions with respect to Processing by the Controller.</w:t>
      </w:r>
    </w:p>
    <w:p w:rsidR="00000000" w:rsidDel="00000000" w:rsidP="00000000" w:rsidRDefault="00000000" w:rsidRPr="00000000" w14:paraId="000000EB">
      <w:pPr>
        <w:keepNext w:val="1"/>
        <w:keepLines w:val="0"/>
        <w:widowControl w:val="1"/>
        <w:numPr>
          <w:ilvl w:val="3"/>
          <w:numId w:val="3"/>
        </w:numPr>
        <w:pBdr>
          <w:top w:space="0" w:sz="0" w:val="nil"/>
          <w:left w:space="0" w:sz="0" w:val="nil"/>
          <w:bottom w:space="0" w:sz="0" w:val="nil"/>
          <w:right w:space="0" w:sz="0" w:val="nil"/>
          <w:between w:space="0" w:sz="0" w:val="nil"/>
        </w:pBdr>
        <w:shd w:fill="auto" w:val="clear"/>
        <w:spacing w:after="0" w:before="0" w:line="240" w:lineRule="auto"/>
        <w:ind w:left="720" w:right="0" w:hanging="720"/>
        <w:jc w:val="both"/>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such further instructions shall be incorporated into this Annex.</w:t>
      </w:r>
    </w:p>
    <w:p w:rsidR="00000000" w:rsidDel="00000000" w:rsidP="00000000" w:rsidRDefault="00000000" w:rsidRPr="00000000" w14:paraId="000000EC">
      <w:pPr>
        <w:keepNext w:val="1"/>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0"/>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trHeight w:val="700" w:hRule="atLeast"/>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Description</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Details</w:t>
            </w:r>
          </w:p>
        </w:tc>
      </w:tr>
      <w:tr>
        <w:trPr>
          <w:trHeight w:val="1620"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Identity of Controller for each Category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Relevant Authority is Controller and the Supplier is Processor</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in accordance with paragraph 2 to paragraph 15 of Joint Schedule 11 and for the purposes of the Data Protection Legislation, the Relevant Authority is the Controller and the Supplier is the Processor of the following Personal Data:</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Supplier is determined by the Relevant Authority</w:t>
            </w: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Supplier is Controller and the Relevant Authority is Processor</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for the purposes of the Data Protection Legislation, the Supplier is the Controller and the Relevant Authority is the Processor in accordance with paragraph 2 to paragraph 15 of Joint Schedule 11 of the following Personal Data:</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by the Relevant Authority  is determined by the Supplier]</w:t>
            </w:r>
            <w:r w:rsidDel="00000000" w:rsidR="00000000" w:rsidRPr="00000000">
              <w:rPr>
                <w:rtl w:val="0"/>
              </w:rPr>
            </w:r>
          </w:p>
          <w:p w:rsidR="00000000" w:rsidDel="00000000" w:rsidP="00000000" w:rsidRDefault="00000000" w:rsidRPr="00000000" w14:paraId="000000F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contact details of Supplier Personnel for which the Supplier is the processor,</w:t>
            </w:r>
          </w:p>
          <w:p w:rsidR="00000000" w:rsidDel="00000000" w:rsidP="00000000" w:rsidRDefault="00000000" w:rsidRPr="00000000" w14:paraId="000000FB">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contact details of any directors, officers, employees, agents, consultants and contractors of CCS (excluding the Supplier Personnel) engaged in the performance of the CCS’ duties under the Contract for which CCS is the Controller</w:t>
            </w:r>
            <w:r w:rsidDel="00000000" w:rsidR="00000000" w:rsidRPr="00000000">
              <w:rPr>
                <w:rtl w:val="0"/>
              </w:rPr>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Parties are Joint Controllers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Parties acknowledge that they are Joint Controllers for the purposes of the Data Protection Legislation in respect of:</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0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Personal Data which the purposes and means of the Processing is determined by the both Parties together</w:t>
            </w:r>
            <w:r w:rsidDel="00000000" w:rsidR="00000000" w:rsidRPr="00000000">
              <w:rPr>
                <w:rtl w:val="0"/>
              </w:rPr>
            </w:r>
          </w:p>
          <w:p w:rsidR="00000000" w:rsidDel="00000000" w:rsidP="00000000" w:rsidRDefault="00000000" w:rsidRPr="00000000" w14:paraId="00000102">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contact details of Supplier Personnel for which the Supplier is the processor,</w:t>
            </w:r>
          </w:p>
          <w:p w:rsidR="00000000" w:rsidDel="00000000" w:rsidP="00000000" w:rsidRDefault="00000000" w:rsidRPr="00000000" w14:paraId="00000103">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 contact details of any directors, officers, employees, agents, consultants and contractors of CCS (excluding the Supplier Personnel) engaged in the performance of the CCS’ duties under the Contract for which CCS is the Controller</w:t>
            </w: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Parties are Independent Controllers of Personal Data</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1"/>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Parties acknowledge that they are Independent Controllers for the purposes of the Data Protection Legislation in respect of:</w:t>
            </w:r>
          </w:p>
          <w:p w:rsidR="00000000" w:rsidDel="00000000" w:rsidP="00000000" w:rsidRDefault="00000000" w:rsidRPr="00000000" w14:paraId="00000108">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Supplier Personnel for which the Supplier is the Controller,</w:t>
            </w:r>
          </w:p>
          <w:p w:rsidR="00000000" w:rsidDel="00000000" w:rsidP="00000000" w:rsidRDefault="00000000" w:rsidRPr="00000000" w14:paraId="0000010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Business contact details of any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r w:rsidDel="00000000" w:rsidR="00000000" w:rsidRPr="00000000">
              <w:rPr>
                <w:rtl w:val="0"/>
              </w:rPr>
            </w:r>
          </w:p>
          <w:p w:rsidR="00000000" w:rsidDel="00000000" w:rsidP="00000000" w:rsidRDefault="00000000" w:rsidRPr="00000000" w14:paraId="0000010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r w:rsidDel="00000000" w:rsidR="00000000" w:rsidRPr="00000000">
              <w:rPr>
                <w:rtl w:val="0"/>
              </w:rPr>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where multiple relationships have been identified above, please address the below rows in the table for in respect of each relationship identified </w:t>
            </w:r>
            <w:r w:rsidDel="00000000" w:rsidR="00000000" w:rsidRPr="00000000">
              <w:rPr>
                <w:rtl w:val="0"/>
              </w:rPr>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1460"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Clearly set out the duration of the Processing including dates</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Contract Period and thereafter, until expiry or termination of the last Call-Off Contract under the Framework, including the period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all transactions relating to Call-Off Contracts have permanently ceased</w:t>
            </w:r>
            <w:r w:rsidDel="00000000" w:rsidR="00000000" w:rsidRPr="00000000">
              <w:rPr>
                <w:rtl w:val="0"/>
              </w:rPr>
            </w:r>
          </w:p>
        </w:tc>
      </w:tr>
      <w:tr>
        <w:trPr>
          <w:trHeight w:val="1520"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Please be as specific as possible, but make sure that you cover all intended purposes.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purpose might include: employment processing, statutory obligation, recruitment assessment etc]</w:t>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facilitate the procurement of Goods and Services from the Framework Contract by public sector organisations and enable CCS to provide ongoing support and a point of escalation for Buyers in the day to day management of their individual Call-Off Contracts. </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Day to day management and performance of obligations under the Framework Contract, including exit management and other associated activities.</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trHeight w:val="1400"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Examples here include: name, address, date of birth, NI number, telephone number, pay, images, biometric data etc</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Personal details of each Party’s Personnel engaged in the performance of obligations and day to day management of the Framework Contract: </w:t>
            </w:r>
          </w:p>
          <w:p w:rsidR="00000000" w:rsidDel="00000000" w:rsidP="00000000" w:rsidRDefault="00000000" w:rsidRPr="00000000" w14:paraId="0000011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name</w:t>
            </w:r>
          </w:p>
          <w:p w:rsidR="00000000" w:rsidDel="00000000" w:rsidP="00000000" w:rsidRDefault="00000000" w:rsidRPr="00000000" w14:paraId="0000011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Job title</w:t>
            </w:r>
          </w:p>
          <w:p w:rsidR="00000000" w:rsidDel="00000000" w:rsidP="00000000" w:rsidRDefault="00000000" w:rsidRPr="00000000" w14:paraId="0000011E">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Organisation name</w:t>
            </w:r>
          </w:p>
          <w:p w:rsidR="00000000" w:rsidDel="00000000" w:rsidP="00000000" w:rsidRDefault="00000000" w:rsidRPr="00000000" w14:paraId="0000011F">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Business/workplace address </w:t>
            </w:r>
          </w:p>
          <w:p w:rsidR="00000000" w:rsidDel="00000000" w:rsidP="00000000" w:rsidRDefault="00000000" w:rsidRPr="00000000" w14:paraId="0000012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Business/workplace email address </w:t>
            </w:r>
          </w:p>
          <w:p w:rsidR="00000000" w:rsidDel="00000000" w:rsidP="00000000" w:rsidRDefault="00000000" w:rsidRPr="00000000" w14:paraId="0000012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Business/workplace telephone/mobile number(s)</w:t>
            </w:r>
          </w:p>
          <w:p w:rsidR="00000000" w:rsidDel="00000000" w:rsidP="00000000" w:rsidRDefault="00000000" w:rsidRPr="00000000" w14:paraId="0000012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Personnel date of birth (when required for security purposes when Supplier Personnel visit CCS premises)</w:t>
            </w:r>
          </w:p>
          <w:p w:rsidR="00000000" w:rsidDel="00000000" w:rsidP="00000000" w:rsidRDefault="00000000" w:rsidRPr="00000000" w14:paraId="00000123">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Dun &amp; Bradstreet Data Universal Numbering System (DUNS number)</w:t>
            </w:r>
          </w:p>
          <w:p w:rsidR="00000000" w:rsidDel="00000000" w:rsidP="00000000" w:rsidRDefault="00000000" w:rsidRPr="00000000" w14:paraId="00000124">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company details including registered company name, address and company registration number (CRN)</w:t>
            </w:r>
          </w:p>
          <w:p w:rsidR="00000000" w:rsidDel="00000000" w:rsidP="00000000" w:rsidRDefault="00000000" w:rsidRPr="00000000" w14:paraId="0000012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 account details for activities related to the Management Charge</w:t>
            </w:r>
          </w:p>
          <w:p w:rsidR="00000000" w:rsidDel="00000000" w:rsidP="00000000" w:rsidRDefault="00000000" w:rsidRPr="00000000" w14:paraId="0000012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Information</w:t>
            </w:r>
          </w:p>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trHeight w:val="1560"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Examples include: Staff (including volunteers, agents, and temporary workers), customers/ clients, suppliers, patients, students / pupils, members of the public, users of a particular</w:t>
              <w:br w:type="textWrapping"/>
              <w:t xml:space="preserve">website etc</w:t>
            </w:r>
          </w:p>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Personnel data of the Parties involved in the performance of obligations and day to day management of the Contract.  </w:t>
            </w:r>
          </w:p>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trHeight w:val="1660" w:hRule="atLeast"/>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Plan for return and destruction of the data once the Processing is complete</w:t>
            </w:r>
          </w:p>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requirement under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Union or Member State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preserve that type of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Describe how long the data will be retained for, how it be returned or destroyed</w:t>
            </w:r>
          </w:p>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will be retained for seven (7) years after the duration of the processing outlined above and in accordance with the CCS Privacy Notice.</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the Core Terms, all CCS data and any copies held by the Supplier must be securely erased once the Processing is complete, unless the Supplier is required by law to retain it.</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the Core Terms, all Storage Media that has held CCS data must be securely destroyed at the end of life of the media. All destruction of media must be in line with good industry practice.</w:t>
            </w: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8" w:type="default"/>
      <w:footerReference r:id="rId9"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RM6168 Estate Management Services</w:t>
      <w:tab/>
      <w:t xml:space="preserve">                                          </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Estate Management Services Template (Short Form)</w:t>
    </w: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20</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1.%2.%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decimal"/>
      <w:lvlText w:val=""/>
      <w:lvlJc w:val="left"/>
      <w:pPr>
        <w:ind w:left="0" w:firstLine="0"/>
      </w:pPr>
      <w:rPr/>
    </w:lvl>
    <w:lvl w:ilvl="1">
      <w:start w:val="1"/>
      <w:numFmt w:val="decimal"/>
      <w:lvlText w:val="%2."/>
      <w:lvlJc w:val="left"/>
      <w:pPr>
        <w:ind w:left="502" w:hanging="360"/>
      </w:pPr>
      <w:rPr>
        <w:smallCaps w:val="0"/>
        <w:strike w:val="0"/>
        <w:color w:val="000000"/>
        <w:sz w:val="22"/>
        <w:szCs w:val="22"/>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40" w:line="360" w:lineRule="auto"/>
      <w:ind w:left="998" w:right="0" w:hanging="431"/>
      <w:jc w:val="left"/>
    </w:pPr>
    <w:rPr>
      <w:rFonts w:ascii="Calibri" w:cs="Calibri" w:eastAsia="Calibri" w:hAnsi="Calibri"/>
      <w:b w:val="0"/>
      <w:i w:val="0"/>
      <w:smallCaps w:val="0"/>
      <w:strike w:val="0"/>
      <w:color w:val="2e74b5"/>
      <w:sz w:val="32"/>
      <w:szCs w:val="32"/>
      <w:u w:val="none"/>
      <w:shd w:fill="auto" w:val="clear"/>
      <w:vertAlign w:val="baseline"/>
    </w:rPr>
  </w:style>
  <w:style w:type="paragraph" w:styleId="Heading2">
    <w:name w:val="heading 2"/>
    <w:basedOn w:val="Normal"/>
    <w:next w:val="Normal"/>
    <w:pPr>
      <w:keepNext w:val="1"/>
      <w:keepLines w:val="1"/>
      <w:widowControl w:val="1"/>
      <w:pBdr>
        <w:top w:color="ffffff" w:space="31" w:sz="4" w:val="single"/>
        <w:left w:color="ffffff" w:space="31" w:sz="4" w:val="single"/>
        <w:bottom w:color="ffffff" w:space="31" w:sz="4" w:val="single"/>
        <w:right w:color="ffffff" w:space="31" w:sz="4" w:val="single"/>
        <w:between w:space="0" w:sz="0" w:val="nil"/>
      </w:pBdr>
      <w:shd w:fill="auto" w:val="clear"/>
      <w:spacing w:after="0" w:before="200" w:line="240" w:lineRule="auto"/>
      <w:ind w:left="0" w:right="0" w:firstLine="0"/>
      <w:jc w:val="left"/>
    </w:pPr>
    <w:rPr>
      <w:rFonts w:ascii="Cambria" w:cs="Cambria" w:eastAsia="Cambria" w:hAnsi="Cambria"/>
      <w:b w:val="1"/>
      <w:i w:val="0"/>
      <w:smallCaps w:val="0"/>
      <w:strike w:val="0"/>
      <w:color w:val="000000"/>
      <w:sz w:val="26"/>
      <w:szCs w:val="26"/>
      <w:u w:val="none"/>
      <w:shd w:fill="auto" w:val="clear"/>
      <w:vertAlign w:val="baseline"/>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tblPr>
      <w:tblStyleRowBandSize w:val="1"/>
      <w:tblStyleColBandSize w:val="1"/>
      <w:tblCellMar>
        <w:top w:w="0.0" w:type="dxa"/>
        <w:left w:w="103.0" w:type="dxa"/>
        <w:bottom w:w="0.0" w:type="dxa"/>
        <w:right w:w="108.0" w:type="dxa"/>
      </w:tblCellMar>
    </w:tblPr>
  </w:style>
  <w:style w:type="table" w:styleId="Table3">
    <w:basedOn w:val="TableNormal"/>
    <w:tblPr>
      <w:tblStyleRowBandSize w:val="1"/>
      <w:tblStyleColBandSize w:val="1"/>
      <w:tblCellMar>
        <w:top w:w="0.0" w:type="dxa"/>
        <w:left w:w="103.0" w:type="dxa"/>
        <w:bottom w:w="0.0" w:type="dxa"/>
        <w:right w:w="108.0" w:type="dxa"/>
      </w:tblCellMar>
    </w:tblPr>
  </w:style>
  <w:style w:type="table" w:styleId="Table4">
    <w:basedOn w:val="TableNormal"/>
    <w:tblPr>
      <w:tblStyleRowBandSize w:val="1"/>
      <w:tblStyleColBandSize w:val="1"/>
      <w:tblCellMar>
        <w:top w:w="0.0" w:type="dxa"/>
        <w:left w:w="103.0" w:type="dxa"/>
        <w:bottom w:w="0.0" w:type="dxa"/>
        <w:right w:w="108.0" w:type="dxa"/>
      </w:tblCellMar>
    </w:tblPr>
  </w:style>
  <w:style w:type="table" w:styleId="Table5">
    <w:basedOn w:val="TableNormal"/>
    <w:tblPr>
      <w:tblStyleRowBandSize w:val="1"/>
      <w:tblStyleColBandSize w:val="1"/>
      <w:tblCellMar>
        <w:top w:w="0.0" w:type="dxa"/>
        <w:left w:w="103.0" w:type="dxa"/>
        <w:bottom w:w="0.0" w:type="dxa"/>
        <w:right w:w="108.0" w:type="dxa"/>
      </w:tblCellMar>
    </w:tblPr>
  </w:style>
  <w:style w:type="table" w:styleId="Table6">
    <w:basedOn w:val="TableNormal"/>
    <w:tblPr>
      <w:tblStyleRowBandSize w:val="1"/>
      <w:tblStyleColBandSize w:val="1"/>
      <w:tblCellMar>
        <w:top w:w="0.0" w:type="dxa"/>
        <w:left w:w="103.0" w:type="dxa"/>
        <w:bottom w:w="0.0" w:type="dxa"/>
        <w:right w:w="108.0" w:type="dxa"/>
      </w:tblCellMar>
    </w:tblPr>
  </w:style>
  <w:style w:type="table" w:styleId="Table7">
    <w:basedOn w:val="TableNormal"/>
    <w:tblPr>
      <w:tblStyleRowBandSize w:val="1"/>
      <w:tblStyleColBandSize w:val="1"/>
      <w:tblCellMar>
        <w:top w:w="0.0" w:type="dxa"/>
        <w:left w:w="103.0" w:type="dxa"/>
        <w:bottom w:w="0.0" w:type="dxa"/>
        <w:right w:w="108.0" w:type="dxa"/>
      </w:tblCellMar>
    </w:tblPr>
  </w:style>
  <w:style w:type="table" w:styleId="Table8">
    <w:basedOn w:val="TableNormal"/>
    <w:tblPr>
      <w:tblStyleRowBandSize w:val="1"/>
      <w:tblStyleColBandSize w:val="1"/>
      <w:tblCellMar>
        <w:top w:w="0.0" w:type="dxa"/>
        <w:left w:w="103.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